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ng" ContentType="image/png"/>
  <Override PartName="/word/media/rId38.png" ContentType="image/png"/>
  <Override PartName="/word/media/rId37.png" ContentType="image/png"/>
  <Override PartName="/word/media/rId28.png" ContentType="image/png"/>
  <Override PartName="/word/media/rId39.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rPr>
          <w:strike/>
        </w:rPr>
        <w:t xml:space="preserve">Effect of spring temperatures on tree growth phenology in two temperate deciduous forests</w:t>
      </w:r>
      <w:r>
        <w:t xml:space="preserve"> </w:t>
      </w:r>
      <w:r>
        <w:t xml:space="preserve">Warmer spring temperatures in temperate deciduous forests cause earlier tree growth but have little/only modest(?)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r>
        <w:t xml:space="preserve"> </w:t>
      </w:r>
      <w:r>
        <w:t xml:space="preserve">Loïc D’Orangeville</w:t>
      </w:r>
      <w:r>
        <w:t xml:space="preserve"> </w:t>
      </w:r>
      <w:r>
        <w:t xml:space="preserve">Erika B. Gonzalez-Akre</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r>
        <w:t xml:space="preserve">Valentine Herrmann</w:t>
      </w:r>
      <w:r>
        <w:rPr>
          <w:vertAlign w:val="superscript"/>
        </w:rPr>
        <w:t xml:space="preserve">1</w:t>
      </w:r>
      <w:r>
        <w:t xml:space="preserve">,</w:t>
      </w:r>
      <w:r>
        <w:t xml:space="preserve"> </w:t>
      </w:r>
      <w:r>
        <w:t xml:space="preserve">Ian McGregor</w:t>
      </w:r>
      <w:r>
        <w:rPr>
          <w:vertAlign w:val="superscript"/>
        </w:rPr>
        <w:t xml:space="preserve">1</w:t>
      </w:r>
      <w:r>
        <w:t xml:space="preserve">,</w:t>
      </w:r>
      <w:r>
        <w:t xml:space="preserve"> </w:t>
      </w:r>
      <w:r>
        <w:t xml:space="preserve">Sean McMahon,</w:t>
      </w:r>
      <w:r>
        <w:t xml:space="preserve"> </w:t>
      </w:r>
      <w:r>
        <w:t xml:space="preserve">Albert Kim</w:t>
      </w:r>
      <w:r>
        <w:rPr>
          <w:vertAlign w:val="superscript"/>
        </w:rPr>
        <w:t xml:space="preserve">1</w:t>
      </w:r>
      <w:r>
        <w:t xml:space="preserve">,</w:t>
      </w:r>
      <w:r>
        <w:t xml:space="preserve"> </w:t>
      </w:r>
      <w:r>
        <w:t xml:space="preserve">David A. Orwig</w:t>
      </w:r>
      <w:r>
        <w:t xml:space="preserve"> </w:t>
      </w:r>
      <w:r>
        <w:t xml:space="preserve">Kristina J. Anderson-Teixeira</w:t>
      </w:r>
      <w:r>
        <w:rPr>
          <w:vertAlign w:val="superscript"/>
        </w:rPr>
        <w:t xml:space="preserve">1,n</w:t>
      </w:r>
      <w:r>
        <w:t xml:space="preserve">*</w:t>
      </w:r>
    </w:p>
    <w:p>
      <w:pPr>
        <w:pStyle w:val="BodyText"/>
      </w:pPr>
      <w:r>
        <w:rPr>
          <w:b/>
        </w:rPr>
        <w:t xml:space="preserve">Author Affiliations:</w:t>
      </w:r>
    </w:p>
    <w:p>
      <w:pPr>
        <w:numPr>
          <w:ilvl w:val="0"/>
          <w:numId w:val="1001"/>
        </w:numPr>
        <w:pStyle w:val="Compact"/>
      </w:pPr>
      <w:r>
        <w:t xml:space="preserve">Conservation Ecology Center; Smithsonian Conservation Biology Institute; Front Royal, VA 22630, USA</w:t>
      </w:r>
    </w:p>
    <w:p>
      <w:pPr>
        <w:numPr>
          <w:ilvl w:val="0"/>
          <w:numId w:val="1002"/>
        </w:numPr>
        <w:pStyle w:val="Compact"/>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2" w:name="abstract"/>
    <w:p>
      <w:pPr>
        <w:pStyle w:val="Heading3"/>
      </w:pPr>
      <w:r>
        <w:t xml:space="preserve">Abstract</w:t>
      </w:r>
    </w:p>
    <w:p>
      <w:pPr>
        <w:pStyle w:val="FirstParagraph"/>
      </w:pPr>
      <w:r>
        <w:t xml:space="preserve">I like the</w:t>
      </w:r>
      <w:r>
        <w:t xml:space="preserve"> </w:t>
      </w:r>
      <w:hyperlink r:id="rId21">
        <w:r>
          <w:rPr>
            <w:rStyle w:val="Hyperlink"/>
          </w:rPr>
          <w:t xml:space="preserve">Nature summary paragraph template</w:t>
        </w:r>
      </w:hyperlink>
      <w:r>
        <w:t xml:space="preserve">:</w:t>
      </w:r>
    </w:p>
    <w:p>
      <w:pPr>
        <w:numPr>
          <w:ilvl w:val="0"/>
          <w:numId w:val="1003"/>
        </w:numPr>
        <w:pStyle w:val="Compact"/>
      </w:pPr>
      <w:r>
        <w:t xml:space="preserve">One or two sentences providing a basic introduction to the field, comprehensible to a scientist in any discipline.</w:t>
      </w:r>
    </w:p>
    <w:p>
      <w:pPr>
        <w:numPr>
          <w:ilvl w:val="0"/>
          <w:numId w:val="1003"/>
        </w:numPr>
        <w:pStyle w:val="Compact"/>
      </w:pPr>
      <w:r>
        <w:t xml:space="preserve">Two to three sentences ofmore detailed background, comprehensible to scientists in related disciplines.</w:t>
      </w:r>
    </w:p>
    <w:p>
      <w:pPr>
        <w:numPr>
          <w:ilvl w:val="0"/>
          <w:numId w:val="1003"/>
        </w:numPr>
        <w:pStyle w:val="Compact"/>
      </w:pPr>
      <w:r>
        <w:t xml:space="preserve">One sentence clearly stating the general problem being addressed by this particular study.</w:t>
      </w:r>
    </w:p>
    <w:p>
      <w:pPr>
        <w:numPr>
          <w:ilvl w:val="0"/>
          <w:numId w:val="1003"/>
        </w:numPr>
        <w:pStyle w:val="Compact"/>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numPr>
          <w:ilvl w:val="0"/>
          <w:numId w:val="1003"/>
        </w:numPr>
        <w:pStyle w:val="Compact"/>
      </w:pPr>
      <w:r>
        <w:t xml:space="preserve">Two or three sentences explaining what the main result reveals in direct comparison to what was thought to be the case previously, or how the main result adds to previous knowledge.</w:t>
      </w:r>
    </w:p>
    <w:p>
      <w:pPr>
        <w:numPr>
          <w:ilvl w:val="0"/>
          <w:numId w:val="1003"/>
        </w:numPr>
        <w:pStyle w:val="Compact"/>
      </w:pPr>
      <w:r>
        <w:t xml:space="preserve">One or two sentences to put the results into a more general context.</w:t>
      </w:r>
    </w:p>
    <w:p>
      <w:pPr>
        <w:numPr>
          <w:ilvl w:val="0"/>
          <w:numId w:val="1003"/>
        </w:numPr>
        <w:pStyle w:val="Compact"/>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bookmarkEnd w:id="22"/>
    <w:bookmarkStart w:id="30" w:name="introduction"/>
    <w:p>
      <w:pPr>
        <w:pStyle w:val="Heading3"/>
      </w:pPr>
      <w:r>
        <w:t xml:space="preserve">Introduction</w:t>
      </w:r>
    </w:p>
    <w:bookmarkStart w:id="23" w:name="X660eb9b5071899a1078d478a7b98063919019bb"/>
    <w:p>
      <w:pPr>
        <w:pStyle w:val="Heading4"/>
      </w:pPr>
      <w:r>
        <w:t xml:space="preserve">(1. 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w:t>
      </w:r>
      <w:r>
        <w:rPr>
          <w:b/>
        </w:rPr>
        <w:t xml:space="preserve">???</w:t>
      </w:r>
      <w:r>
        <w:t xml:space="preserve">)</w:t>
      </w:r>
      <w:r>
        <w:t xml:space="preserve">. However, their future under the current era of rapid change is uncertain</w:t>
      </w:r>
      <w:r>
        <w:t xml:space="preserve"> </w:t>
      </w:r>
      <w:r>
        <w:t xml:space="preserve">(</w:t>
      </w:r>
      <w:r>
        <w:rPr>
          <w:b/>
        </w:rPr>
        <w:t xml:space="preserve">???</w:t>
      </w:r>
      <w:r>
        <w:t xml:space="preserve">)</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3"/>
    <w:bookmarkStart w:id="24" w:name="Xe4a691bc37377ddcf1a219643891dd21faa35e9"/>
    <w:p>
      <w:pPr>
        <w:pStyle w:val="Heading4"/>
      </w:pPr>
      <w:r>
        <w:t xml:space="preserve">(2. 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bookmarkEnd w:id="24"/>
    <w:bookmarkStart w:id="25" w:name="X3392c3350558a55138fccfecaf342085b00d3ad"/>
    <w:p>
      <w:pPr>
        <w:pStyle w:val="Heading4"/>
      </w:pPr>
      <w:r>
        <w:t xml:space="preserve">(3. 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bookmarkEnd w:id="25"/>
    <w:bookmarkStart w:id="26" w:name="Xa41eb0e22d6bf5c223bb3aff53cf0ee87481062"/>
    <w:p>
      <w:pPr>
        <w:pStyle w:val="Heading4"/>
      </w:pPr>
      <w:r>
        <w:t xml:space="preserve">(4. We also know little about differences across species or functional groups, which matters because it will affect how different species fare under climate change )</w:t>
      </w:r>
    </w:p>
    <w:p>
      <w:pPr>
        <w:pStyle w:val="FirstParagraph"/>
      </w:pPr>
      <w:r>
        <w:rPr>
          <w:strike/>
        </w:rPr>
        <w:t xml:space="preserve">A recent publication by D’Orangeville et al () found that</w:t>
      </w:r>
      <w:r>
        <w:t xml:space="preserve"> </w:t>
      </w:r>
      <w:r>
        <w:t xml:space="preserve">Leaf and wood phenology traits, along with their apparent relationships, are dissimilar among trees of different wood types (ring-porous and diffuse-porous;</w:t>
      </w:r>
      <w:r>
        <w:t xml:space="preserve"> </w:t>
      </w:r>
      <w:r>
        <w:rPr>
          <w:b/>
        </w:rPr>
        <w:t xml:space="preserve">D’Orangeville et al. YY</w:t>
      </w:r>
      <w:r>
        <w:t xml:space="preserve">). For example,</w:t>
      </w:r>
      <w:r>
        <w:t xml:space="preserve"> </w:t>
      </w:r>
      <w:r>
        <w:rPr>
          <w:strike/>
        </w:rPr>
        <w:t xml:space="preserve">they observed that</w:t>
      </w:r>
      <w:r>
        <w:t xml:space="preserve"> </w:t>
      </w:r>
      <w:r>
        <w:t xml:space="preserve">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6"/>
    <w:bookmarkStart w:id="29" w:name="here-we"/>
    <w:p>
      <w:pPr>
        <w:pStyle w:val="Heading4"/>
      </w:pPr>
      <w:r>
        <w:t xml:space="preserve">(5. Here, we…)</w:t>
      </w:r>
    </w:p>
    <w:p>
      <w:pPr>
        <w:pStyle w:val="FirstParagraph"/>
      </w:pPr>
      <w:r>
        <w:t xml:space="preserve">Here, we characterize how early spring temperatures affect stem growth phenology and rates of temperate deciduous trees within</w:t>
      </w:r>
      <w:r>
        <w:t xml:space="preserve"> </w:t>
      </w:r>
      <w:r>
        <w:rPr>
          <w:b/>
        </w:rPr>
        <w:t xml:space="preserve">two/three</w:t>
      </w:r>
      <w:r>
        <w:t xml:space="preserve"> </w:t>
      </w:r>
      <w:r>
        <w:t xml:space="preserve">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334000" cy="4301143"/>
            <wp:effectExtent b="0" l="0" r="0" t="0"/>
            <wp:docPr descr="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7"/>
                    <a:stretch>
                      <a:fillRect/>
                    </a:stretch>
                  </pic:blipFill>
                  <pic:spPr bwMode="auto">
                    <a:xfrm>
                      <a:off x="0" y="0"/>
                      <a:ext cx="5334000" cy="4301143"/>
                    </a:xfrm>
                    <a:prstGeom prst="rect">
                      <a:avLst/>
                    </a:prstGeom>
                    <a:noFill/>
                    <a:ln w="9525">
                      <a:noFill/>
                      <a:headEnd/>
                      <a:tailEnd/>
                    </a:ln>
                  </pic:spPr>
                </pic:pic>
              </a:graphicData>
            </a:graphic>
          </wp:inline>
        </w:drawing>
      </w:r>
    </w:p>
    <w:p>
      <w:pPr>
        <w:pStyle w:val="ImageCaption"/>
      </w:pPr>
      <w:r>
        <w:t xml:space="preserve">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334000" cy="2173111"/>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8"/>
                    <a:stretch>
                      <a:fillRect/>
                    </a:stretch>
                  </pic:blipFill>
                  <pic:spPr bwMode="auto">
                    <a:xfrm>
                      <a:off x="0" y="0"/>
                      <a:ext cx="5334000" cy="2173111"/>
                    </a:xfrm>
                    <a:prstGeom prst="rect">
                      <a:avLst/>
                    </a:prstGeom>
                    <a:noFill/>
                    <a:ln w="9525">
                      <a:noFill/>
                      <a:headEnd/>
                      <a:tailEnd/>
                    </a:ln>
                  </pic:spPr>
                </pic:pic>
              </a:graphicData>
            </a:graphic>
          </wp:inline>
        </w:drawing>
      </w:r>
    </w:p>
    <w:bookmarkEnd w:id="29"/>
    <w:bookmarkEnd w:id="30"/>
    <w:bookmarkStart w:id="36" w:name="materials-and-methods"/>
    <w:p>
      <w:pPr>
        <w:pStyle w:val="Heading3"/>
      </w:pPr>
      <w:r>
        <w:t xml:space="preserve">Materials and Methods</w:t>
      </w:r>
    </w:p>
    <w:bookmarkStart w:id="32" w:name="study-sites-and-data"/>
    <w:p>
      <w:pPr>
        <w:pStyle w:val="Heading4"/>
      </w:pPr>
      <w:r>
        <w:t xml:space="preserve">Study sites and data</w:t>
      </w:r>
    </w:p>
    <w:p>
      <w:pPr>
        <w:pStyle w:val="FirstParagraph"/>
      </w:pPr>
      <w:r>
        <w:t xml:space="preserve">Study sites included two temperate forests in the Eastern United States, both part of the Forest Global Earth Observatory [ForestGEO; Anderson-Teixeira et al. 2015].</w:t>
      </w:r>
    </w:p>
    <w:p>
      <w:pPr>
        <w:pStyle w:val="BodyText"/>
      </w:pPr>
      <w:r>
        <w:t xml:space="preserve">Our first study site was the forest dynamics plot located at the Smithsonian Conservation Biology Institute 5 km South of Front Royal, Virginia within the Blue Ridge Mountains (38.8935° N, 78.1454° W; elevation 273–338 m.a.s.l.). The forest here was established in the mid-19th century after conversion from agricultural fields. 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 The climate is humid temperate, with a mean annual precipitation of 998 mm, January temperatures averaging 1 degrees C and July temperatures averaging 24 degrees C (Helcoski et al, 2019).</w:t>
      </w:r>
    </w:p>
    <w:p>
      <w:pPr>
        <w:pStyle w:val="BodyText"/>
      </w:pPr>
      <w:r>
        <w:t xml:space="preserve">The second study site was Harvard Forest (42.5388° N, 72.1755° W, 340-368 m.a.s.l.), located near the central Massachusetts town of Petersham.</w:t>
      </w:r>
      <w:r>
        <w:t xml:space="preserve"> </w:t>
      </w:r>
      <w:r>
        <w:rPr>
          <w:i/>
        </w:rPr>
        <w:t xml:space="preserve">Harvard Forest was established in 1907 as a study site for university students and researchers. (Previous use?)</w:t>
      </w:r>
      <w:r>
        <w:t xml:space="preserve"> </w:t>
      </w:r>
      <w:r>
        <w:t xml:space="preserve">Dominate species within the approximately 13 HA plot are hemlock (</w:t>
      </w:r>
      <w:r>
        <w:rPr>
          <w:i/>
        </w:rPr>
        <w:t xml:space="preserve">Tsuga spp.</w:t>
      </w:r>
      <w:r>
        <w:t xml:space="preserve">), oak (</w:t>
      </w:r>
      <w:r>
        <w:rPr>
          <w:i/>
        </w:rPr>
        <w:t xml:space="preserve">Quercus spp.</w:t>
      </w:r>
      <w:r>
        <w:t xml:space="preserve">) and maple (</w:t>
      </w:r>
      <w:r>
        <w:rPr>
          <w:i/>
        </w:rPr>
        <w:t xml:space="preserve">Acer spp.</w:t>
      </w:r>
      <w:r>
        <w:t xml:space="preserve">). The climate is temperate continental with a mean annual precipitation of 1120 mm, January temperatures averaging -12 degrees C and July temperatures averaging 19 degrees C (D’Orangeville et al, ).</w:t>
      </w:r>
    </w:p>
    <w:p>
      <w:pPr>
        <w:pStyle w:val="BodyText"/>
      </w:pPr>
      <w:r>
        <w:t xml:space="preserve">Metal dendrometer bands installed on</w:t>
      </w:r>
      <w:r>
        <w:t xml:space="preserve"> </w:t>
      </w:r>
      <w:r>
        <w:rPr>
          <w:i/>
        </w:rPr>
        <w:t xml:space="preserve">99-145</w:t>
      </w:r>
      <w:r>
        <w:t xml:space="preserve"> </w:t>
      </w:r>
      <w:r>
        <w:t xml:space="preserve">and</w:t>
      </w:r>
      <w:r>
        <w:t xml:space="preserve"> </w:t>
      </w:r>
      <w:r>
        <w:rPr>
          <w:i/>
        </w:rPr>
        <w:t xml:space="preserve">700-755</w:t>
      </w:r>
      <w:r>
        <w:t xml:space="preserve"> </w:t>
      </w:r>
      <w:r>
        <w:t xml:space="preserve">trees within the SCBI and Harvard Forest ForestGEO plots, respectively, were measured with a digital caliper approximately every 1-2 weeks within the growing season from 2011-2020 and 1998-2003, respectively. 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 Across years, the number of bands sampled averaged</w:t>
      </w:r>
      <w:r>
        <w:t xml:space="preserve"> </w:t>
      </w:r>
      <w:r>
        <w:rPr>
          <w:i/>
        </w:rPr>
        <w:t xml:space="preserve">~135</w:t>
      </w:r>
      <w:r>
        <w:t xml:space="preserve"> </w:t>
      </w:r>
      <w:r>
        <w:t xml:space="preserve">at SCBI and</w:t>
      </w:r>
      <w:r>
        <w:t xml:space="preserve"> </w:t>
      </w:r>
      <w:r>
        <w:rPr>
          <w:i/>
        </w:rPr>
        <w:t xml:space="preserve">~717</w:t>
      </w:r>
      <w:r>
        <w:t xml:space="preserve"> </w:t>
      </w:r>
      <w:r>
        <w:t xml:space="preserve">at Harvard Forest. At SCBI, four species were sampled including two diffuse-porous (Lirodendron tulipfera and Fagus grandafolia) and two ring-porous (Quercus rubra and Quercus alba) species. At Harvard Forest, eleven species were sampled including eight diffuse-porous and three ring-porous (Table 2)</w:t>
      </w:r>
      <w:r>
        <w:rPr>
          <w:i/>
        </w:rPr>
        <w:t xml:space="preserve">(bands_bySP csv’s in data folder)</w:t>
      </w:r>
      <w:r>
        <w:t xml:space="preserve">.</w:t>
      </w:r>
    </w:p>
    <w:p>
      <w:pPr>
        <w:pStyle w:val="BodyText"/>
      </w:pPr>
      <w:r>
        <w:rPr>
          <w:i/>
        </w:rPr>
        <w:t xml:space="preserve">(Do we want a table of species here?? Columns would be Species, xylem porosity, n trees, n tree-years (after cleaning). Details will be in an SI table)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Species</w:t>
            </w:r>
          </w:p>
        </w:tc>
        <w:tc>
          <w:tcPr>
            <w:tcBorders>
              <w:bottom w:val="single"/>
            </w:tcBorders>
            <w:vAlign w:val="bottom"/>
          </w:tcPr>
          <w:p>
            <w:pPr>
              <w:pStyle w:val="Compact"/>
              <w:jc w:val="left"/>
            </w:pPr>
            <w:r>
              <w:t xml:space="preserve">Xylem porosity</w:t>
            </w:r>
          </w:p>
        </w:tc>
        <w:tc>
          <w:tcPr>
            <w:tcBorders>
              <w:bottom w:val="single"/>
            </w:tcBorders>
            <w:vAlign w:val="bottom"/>
          </w:tcPr>
          <w:p>
            <w:pPr>
              <w:pStyle w:val="Compact"/>
              <w:jc w:val="left"/>
            </w:pPr>
            <w:r>
              <w:t xml:space="preserve">trees</w:t>
            </w:r>
          </w:p>
        </w:tc>
        <w:tc>
          <w:tcPr>
            <w:tcBorders>
              <w:bottom w:val="single"/>
            </w:tcBorders>
            <w:vAlign w:val="bottom"/>
          </w:tcPr>
          <w:p>
            <w:pPr>
              <w:pStyle w:val="Compact"/>
              <w:jc w:val="left"/>
            </w:pPr>
            <w:r>
              <w:t xml:space="preserve">tree-years</w:t>
            </w:r>
          </w:p>
        </w:tc>
      </w:tr>
      <w:tr>
        <w:tc>
          <w:p>
            <w:pPr>
              <w:pStyle w:val="Compact"/>
              <w:jc w:val="left"/>
            </w:pPr>
            <w:r>
              <w:t xml:space="preserve">SCBI</w:t>
            </w:r>
          </w:p>
        </w:tc>
        <w:tc>
          <w:p>
            <w:pPr>
              <w:pStyle w:val="Compact"/>
              <w:jc w:val="left"/>
            </w:pPr>
            <w:r>
              <w:t xml:space="preserve">American Beech</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Tulip Poplar</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Red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White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pPr>
              <w:pStyle w:val="Compact"/>
              <w:jc w:val="left"/>
            </w:pPr>
            <w:r>
              <w:t xml:space="preserve">Harvard</w:t>
            </w:r>
          </w:p>
        </w:tc>
        <w:tc>
          <w:p>
            <w:pPr>
              <w:pStyle w:val="Compact"/>
              <w:jc w:val="left"/>
            </w:pPr>
            <w:r>
              <w:t xml:space="preserve">American Beech</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Black Birch</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Black Cherry</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Grey Birch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Red Maple</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Striped Maple</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White Birch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Yellow Birch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Black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Red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White Ash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bl>
    <w:p>
      <w:pPr>
        <w:pStyle w:val="BodyText"/>
      </w:pPr>
      <w:r>
        <w:t xml:space="preserve">Measurements were timed to begin before beginning of spring growth and to continue through the cessation of growth in the fall. At SCBI, the median start date was 4/14, which was adjusted when early leaf-out of understory shrubs and herbs was observed, and the median end date was 10/17, coinciding with late senescence in the plot. The earliest start date for intraannual measurements at SCBI was March 30, 2020 and the latest end date was November 26, 2012. Harvard Forest measurements took place at a similar time, with the median start date of 4/23 and median end date of 10/30. 1998 was an anomalous year where initial measurements were taken on 1/5, but not taken again until 4/15. The latest end date was November 11, 2002.</w:t>
      </w:r>
    </w:p>
    <w:p>
      <w:pPr>
        <w:pStyle w:val="BodyText"/>
      </w:pPr>
      <w:r>
        <w:t xml:space="preserve">(</w:t>
      </w:r>
      <w:r>
        <w:rPr>
          <w:i/>
        </w:rPr>
        <w:t xml:space="preserve">The following seems out of date, right? Scripted cleaning is not described.</w:t>
      </w:r>
      <w:r>
        <w:t xml:space="preserve">)</w:t>
      </w:r>
      <w:r>
        <w:t xml:space="preserve"> </w:t>
      </w:r>
      <w:r>
        <w:t xml:space="preserve">The dendroband data were manually cleaned by visual inspection. Three classes of mistakes: 1. Error in measurement - weekly measurement was drastically different from previous week and following week. Mistakes were removed from the raw data before modeling. 2. Band slip or stuck - measurements freeze and remain unchanged until sudden jump followed by normal growth pattern. Band slips were sometimes followed by measurements indicating the band became stuck; in these cases, the tree was thrown out for the corresponding year. In cases where the slip was followed by normal growth, the initial slip-point was removed, and the following points were shifted down to the pre-slip level. 3. Other - cases where data was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Daily maximum temperatures (</w:t>
      </w:r>
      <m:oMath>
        <m:sSub>
          <m:e>
            <m:r>
              <m:t>T</m:t>
            </m:r>
          </m:e>
          <m:sub>
            <m:r>
              <m:t>M</m:t>
            </m:r>
            <m:r>
              <m:t>A</m:t>
            </m:r>
            <m:r>
              <m:t>X</m:t>
            </m:r>
          </m:sub>
        </m:sSub>
      </m:oMath>
      <w:r>
        <w:t xml:space="preserve">) for SCBI were obtained from a meteorological tower adjacent to the SCBI ForestGEO plot (data can be found on the ForestGEO climate portal, DOI on github). Daily maximum temperatures at Harvard Forest were obtained from the Harvard Forest weather station (Boose &amp; Gould, 2004; Boose, 2018). The R package climpact () was used to plot</w:t>
      </w:r>
      <w:r>
        <w:t xml:space="preserve"> </w:t>
      </w:r>
      <m:oMath>
        <m:sSub>
          <m:e>
            <m:r>
              <m:t>T</m:t>
            </m:r>
          </m:e>
          <m:sub>
            <m:r>
              <m:t>M</m:t>
            </m:r>
            <m:r>
              <m:t>A</m:t>
            </m:r>
            <m:r>
              <m:t>X</m:t>
            </m:r>
          </m:sub>
        </m:sSub>
      </m:oMath>
      <w:r>
        <w:t xml:space="preserve"> </w:t>
      </w:r>
      <w:r>
        <w:t xml:space="preserve">for visual inspection. Climpact also identifies readings that were greater than 3 standard deviations away from yearly means. These points were labeled as outliers and removed from the dataset. Gaps in the SCBI meteorological tower data were subsequently filled using</w:t>
      </w:r>
      <w:r>
        <w:t xml:space="preserve"> </w:t>
      </w:r>
      <m:oMath>
        <m:sSub>
          <m:e>
            <m:r>
              <m:t>T</m:t>
            </m:r>
          </m:e>
          <m:sub>
            <m:r>
              <m:t>M</m:t>
            </m:r>
            <m:r>
              <m:t>A</m:t>
            </m:r>
            <m:r>
              <m:t>X</m:t>
            </m:r>
          </m:sub>
        </m:sSub>
      </m:oMath>
      <w:r>
        <w:t xml:space="preserve"> </w:t>
      </w:r>
      <w:r>
        <w:t xml:space="preserve">readings obtained from a National Center for Environmental Information (NCEI) weather station located in Front Royal, Virginia (</w:t>
      </w:r>
      <w:hyperlink r:id="rId31">
        <w:r>
          <w:rPr>
            <w:rStyle w:val="Hyperlink"/>
          </w:rPr>
          <w:t xml:space="preserve">https://www.ncdc.noaa.gov/cdo-web/datasets/GHCND/stations/GHCND:USC00443229/detail</w:t>
        </w:r>
      </w:hyperlink>
      <w:r>
        <w:t xml:space="preserve">). (</w:t>
      </w:r>
      <w:r>
        <w:rPr>
          <w:i/>
        </w:rPr>
        <w:t xml:space="preserve">how were gaps filled for Harvard? Or was the record good?</w:t>
      </w:r>
      <w:r>
        <w:t xml:space="preserve">)</w:t>
      </w:r>
    </w:p>
    <w:bookmarkEnd w:id="32"/>
    <w:bookmarkStart w:id="33" w:name="fitting-growth-curves"/>
    <w:p>
      <w:pPr>
        <w:pStyle w:val="Heading4"/>
      </w:pPr>
      <w:r>
        <w:t xml:space="preserve">Fitting growth curves</w:t>
      </w:r>
    </w:p>
    <w:p>
      <w:pPr>
        <w:pStyle w:val="FirstParagraph"/>
      </w:pPr>
      <w:r>
        <w:t xml:space="preserve">We fit the model of</w:t>
      </w:r>
      <w:r>
        <w:t xml:space="preserve"> </w:t>
      </w:r>
      <w:r>
        <w:t xml:space="preserve">McMahon &amp; Parker (2015)</w:t>
      </w:r>
      <w:r>
        <w:t xml:space="preserve"> </w:t>
      </w:r>
      <w:r>
        <w:t xml:space="preserve">to define</w:t>
      </w:r>
      <w:r>
        <w:t xml:space="preserve"> </w:t>
      </w:r>
      <w:r>
        <w:rPr>
          <w:i/>
        </w:rPr>
        <w:t xml:space="preserve">phenological dates and growth rates</w:t>
      </w:r>
      <w:r>
        <w:t xml:space="preserve"> </w:t>
      </w:r>
      <w:r>
        <w:t xml:space="preserve">(Fig. 1).</w:t>
      </w:r>
    </w:p>
    <w:bookmarkEnd w:id="33"/>
    <w:bookmarkStart w:id="34" w:name="determining-optimal-climate-windows"/>
    <w:p>
      <w:pPr>
        <w:pStyle w:val="Heading4"/>
      </w:pPr>
      <w:r>
        <w:t xml:space="preserve">Determining optimal climate windows</w:t>
      </w:r>
    </w:p>
    <w:p>
      <w:pPr>
        <w:pStyle w:val="FirstParagraph"/>
      </w:pPr>
      <w:r>
        <w:t xml:space="preserve">The period where the phenology milestone(s) were most affected by changes in early spring temperature was determined using the R package Climwin. This package tests the correlation between climate variables (</w:t>
      </w:r>
      <m:oMath>
        <m:sSub>
          <m:e>
            <m:r>
              <m:t>T</m:t>
            </m:r>
          </m:e>
          <m:sub>
            <m:r>
              <m:t>M</m:t>
            </m:r>
            <m:r>
              <m:t>A</m:t>
            </m:r>
            <m:r>
              <m:t>X</m:t>
            </m:r>
          </m:sub>
        </m:sSub>
      </m:oMath>
      <w:r>
        <w:t xml:space="preserve">) and biological variables (DOY, max rate DOY, total growth) within a specified time-frame, reporting correlation and delta AIC’s of each</w:t>
      </w:r>
      <w:r>
        <w:t xml:space="preserve"> </w:t>
      </w:r>
      <w:r>
        <w:t xml:space="preserve">‘</w:t>
      </w:r>
      <w:r>
        <w:t xml:space="preserve">window</w:t>
      </w:r>
      <w:r>
        <w:t xml:space="preserve">’</w:t>
      </w:r>
      <w:r>
        <w:t xml:space="preserve">. as the best-model. We instructed Climwin to search for the best window beginning at February 1st and ending at the mean DOY for each phenology variable (chart in SI?). This was done to find corresponding (median of 95% CI window open and close) start and end dates for the analysis of ring-porous and diffuse-porous trees, as well as all trees pooled together.</w:t>
      </w:r>
    </w:p>
    <w:bookmarkEnd w:id="34"/>
    <w:bookmarkStart w:id="35" w:name="hypothesis-testing"/>
    <w:p>
      <w:pPr>
        <w:pStyle w:val="Heading4"/>
      </w:pPr>
      <w:r>
        <w:t xml:space="preserve">Hypothesis testing</w:t>
      </w:r>
    </w:p>
    <w:p>
      <w:pPr>
        <w:pStyle w:val="FirstParagraph"/>
      </w:pPr>
      <w:r>
        <w:t xml:space="preserve">Correlation between these variables and spring temperatures over the 15 year study period (1998-2003; 2011-2019) were assessed using a linear mixed model in a heriarchal bayesian framework.</w:t>
      </w:r>
    </w:p>
    <w:p>
      <w:pPr>
        <w:pStyle w:val="BodyText"/>
      </w:pPr>
      <w:r>
        <w:t xml:space="preserve">Notes for now:</w:t>
      </w:r>
    </w:p>
    <w:p>
      <w:pPr>
        <w:numPr>
          <w:ilvl w:val="0"/>
          <w:numId w:val="1004"/>
        </w:numPr>
        <w:pStyle w:val="Compact"/>
      </w:pPr>
      <w:r>
        <w:t xml:space="preserve">The multivariate model for</w:t>
      </w:r>
      <w:r>
        <w:t xml:space="preserve"> </w:t>
      </w:r>
      <m:oMath>
        <m:r>
          <m:t>(</m:t>
        </m:r>
        <m:r>
          <m:t>D</m:t>
        </m:r>
        <m:r>
          <m:t>O</m:t>
        </m:r>
        <m:sSub>
          <m:e>
            <m:r>
              <m:t>Y</m:t>
            </m:r>
          </m:e>
          <m:sub>
            <m:r>
              <m:t>25</m:t>
            </m:r>
          </m:sub>
        </m:sSub>
        <m:r>
          <m:t>,</m:t>
        </m:r>
        <m:r>
          <m:t>D</m:t>
        </m:r>
        <m:r>
          <m:t>O</m:t>
        </m:r>
        <m:sSub>
          <m:e>
            <m:r>
              <m:t>Y</m:t>
            </m:r>
          </m:e>
          <m:sub>
            <m:r>
              <m:t>50</m:t>
            </m:r>
          </m:sub>
        </m:sSub>
        <m:r>
          <m:t>,</m:t>
        </m:r>
        <m:r>
          <m:t>D</m:t>
        </m:r>
        <m:r>
          <m:t>O</m:t>
        </m:r>
        <m:sSub>
          <m:e>
            <m:r>
              <m:t>Y</m:t>
            </m:r>
          </m:e>
          <m:sub>
            <m:r>
              <m:t>75</m:t>
            </m:r>
          </m:sub>
        </m:sSub>
        <m:r>
          <m:t>)</m:t>
        </m:r>
      </m:oMath>
      <w:r>
        <w:t xml:space="preserve"> </w:t>
      </w:r>
      <w:r>
        <w:t xml:space="preserve">has:</w:t>
      </w:r>
    </w:p>
    <w:p>
      <w:pPr>
        <w:numPr>
          <w:ilvl w:val="1"/>
          <w:numId w:val="1005"/>
        </w:numPr>
        <w:pStyle w:val="Compact"/>
      </w:pPr>
      <w:r>
        <w:t xml:space="preserve">Fixed effects: The interaction between wood type (diffuse vs ring porous) and climwin mean</w:t>
      </w:r>
    </w:p>
    <w:p>
      <w:pPr>
        <w:numPr>
          <w:ilvl w:val="1"/>
          <w:numId w:val="1005"/>
        </w:numPr>
        <w:pStyle w:val="Compact"/>
      </w:pPr>
      <w:r>
        <w:t xml:space="preserve">Random effects: tag number (no species just yet)</w:t>
      </w:r>
    </w:p>
    <w:p>
      <w:pPr>
        <w:pStyle w:val="FirstParagraph"/>
      </w:pPr>
      <w:r>
        <w:t xml:space="preserve">-Mixed effect model</w:t>
      </w:r>
    </w:p>
    <w:p>
      <w:pPr>
        <w:pStyle w:val="BodyText"/>
      </w:pPr>
      <w:r>
        <w:t xml:space="preserve">A mixed effect model was used to test the response of wood phenology variables (25% DOY, 50% DOY, 75% DOY, max-rate, max-rate DOY, total growth) to fixed effects of wood-type and spring temperature, along with random effects of species and tag. We ran two separate models of each wood phenology variable for each of our major wood-types, and one combined model to use for comparison. Models were run using the LME4 package in R (Bates, D., Mächler, M., Bolker, B. &amp; Walker, S. (2015). Fitting linear mixed‐effects models using lme4. J. Stat. Softw., 67, 1–48.)</w:t>
      </w:r>
    </w:p>
    <w:p>
      <w:pPr>
        <w:pStyle w:val="BodyText"/>
      </w:pPr>
      <w:r>
        <w:t xml:space="preserve">• Bayesian heirarchical model</w:t>
      </w:r>
      <w:r>
        <w:t xml:space="preserve"> </w:t>
      </w: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35"/>
    <w:bookmarkEnd w:id="36"/>
    <w:bookmarkStart w:id="40" w:name="results"/>
    <w:p>
      <w:pPr>
        <w:pStyle w:val="Heading3"/>
      </w:pPr>
      <w:r>
        <w:t xml:space="preserve">Results</w:t>
      </w:r>
    </w:p>
    <w:p>
      <w:pPr>
        <w:pStyle w:val="FirstParagraph"/>
      </w:pPr>
      <w:r>
        <w:rPr>
          <w:i/>
        </w:rPr>
        <w:t xml:space="preserve">Phenological patterns</w:t>
      </w:r>
    </w:p>
    <w:p>
      <w:pPr>
        <w:pStyle w:val="BodyText"/>
      </w:pPr>
      <w:r>
        <w:rPr>
          <w:i/>
        </w:rPr>
        <w:t xml:space="preserve">(Numbers in bold will change. If we bring in HF and/or SERC, we should create a table, rather than trying to list everything in the text.)</w:t>
      </w:r>
    </w:p>
    <w:p>
      <w:pPr>
        <w:pStyle w:val="BodyText"/>
      </w:pPr>
      <w:r>
        <w:t xml:space="preserve">Across all trees and years, 25% of annual growth was achieved on</w:t>
      </w:r>
      <w:r>
        <w:t xml:space="preserve"> </w:t>
      </w:r>
      <w:r>
        <w:rPr>
          <w:b/>
        </w:rPr>
        <w:t xml:space="preserve">May 9</w:t>
      </w:r>
      <w:r>
        <w:t xml:space="preserve"> </w:t>
      </w:r>
      <w:r>
        <w:t xml:space="preserve">(</w:t>
      </w:r>
      <m:oMath>
        <m:r>
          <m:t>D</m:t>
        </m:r>
        <m:r>
          <m:t>O</m:t>
        </m:r>
        <m:sSub>
          <m:e>
            <m:r>
              <m:t>Y</m:t>
            </m:r>
          </m:e>
          <m:sub>
            <m:r>
              <m:t>25</m:t>
            </m:r>
          </m:sub>
        </m:sSub>
      </m:oMath>
      <w:r>
        <w:t xml:space="preserve">=</w:t>
      </w:r>
      <w:r>
        <w:rPr>
          <w:b/>
        </w:rPr>
        <w:t xml:space="preserve">129</w:t>
      </w:r>
      <w:r>
        <w:t xml:space="preserve">), 50% on</w:t>
      </w:r>
      <w:r>
        <w:t xml:space="preserve"> </w:t>
      </w:r>
      <w:r>
        <w:rPr>
          <w:b/>
        </w:rPr>
        <w:t xml:space="preserve">June 6</w:t>
      </w:r>
      <w:r>
        <w:t xml:space="preserve"> </w:t>
      </w:r>
      <w:r>
        <w:t xml:space="preserve">(</w:t>
      </w:r>
      <m:oMath>
        <m:r>
          <m:t>D</m:t>
        </m:r>
        <m:r>
          <m:t>O</m:t>
        </m:r>
        <m:sSub>
          <m:e>
            <m:r>
              <m:t>Y</m:t>
            </m:r>
          </m:e>
          <m:sub>
            <m:r>
              <m:t>50</m:t>
            </m:r>
          </m:sub>
        </m:sSub>
      </m:oMath>
      <w:r>
        <w:t xml:space="preserve">=</w:t>
      </w:r>
      <w:r>
        <w:rPr>
          <w:b/>
        </w:rPr>
        <w:t xml:space="preserve">157</w:t>
      </w:r>
      <w:r>
        <w:t xml:space="preserve">), and 75% on</w:t>
      </w:r>
      <w:r>
        <w:t xml:space="preserve"> </w:t>
      </w:r>
      <w:r>
        <w:rPr>
          <w:b/>
        </w:rPr>
        <w:t xml:space="preserve">July 3</w:t>
      </w:r>
      <w:r>
        <w:t xml:space="preserve"> </w:t>
      </w:r>
      <w:r>
        <w:t xml:space="preserve">(</w:t>
      </w:r>
      <m:oMath>
        <m:r>
          <m:t>D</m:t>
        </m:r>
        <m:r>
          <m:t>O</m:t>
        </m:r>
        <m:sSub>
          <m:e>
            <m:r>
              <m:t>Y</m:t>
            </m:r>
          </m:e>
          <m:sub>
            <m:r>
              <m:t>75</m:t>
            </m:r>
          </m:sub>
        </m:sSub>
      </m:oMath>
      <w:r>
        <w:t xml:space="preserve">=</w:t>
      </w:r>
      <w:r>
        <w:rPr>
          <w:b/>
        </w:rPr>
        <w:t xml:space="preserve">184</w:t>
      </w:r>
      <w:r>
        <w:t xml:space="preserve">), for an average peak growing season length of</w:t>
      </w:r>
      <w:r>
        <w:t xml:space="preserve"> </w:t>
      </w:r>
      <w:r>
        <w:rPr>
          <w:b/>
        </w:rPr>
        <w:t xml:space="preserve">56</w:t>
      </w:r>
      <w:r>
        <w:t xml:space="preserve"> </w:t>
      </w:r>
      <w:r>
        <w:t xml:space="preserve">days. Maximum growth rate occurred</w:t>
      </w:r>
      <w:r>
        <w:t xml:space="preserve"> </w:t>
      </w:r>
      <w:r>
        <w:rPr>
          <w:i/>
        </w:rPr>
        <w:t xml:space="preserve">just one day after</w:t>
      </w:r>
      <w:r>
        <w:rPr>
          <w:i/>
        </w:rPr>
        <w:t xml:space="preserve"> </w:t>
      </w:r>
      <m:oMath>
        <m:r>
          <m:t>D</m:t>
        </m:r>
        <m:r>
          <m:t>O</m:t>
        </m:r>
        <m:sSub>
          <m:e>
            <m:r>
              <m:t>Y</m:t>
            </m:r>
          </m:e>
          <m:sub>
            <m:r>
              <m:t>50</m:t>
            </m:r>
          </m:sub>
        </m:sSub>
      </m:oMath>
      <w:r>
        <w:t xml:space="preserve"> </w:t>
      </w:r>
      <w:r>
        <w:t xml:space="preserve">on</w:t>
      </w:r>
      <w:r>
        <w:t xml:space="preserve"> </w:t>
      </w:r>
      <w:r>
        <w:rPr>
          <w:b/>
        </w:rPr>
        <w:t xml:space="preserve">June 7</w:t>
      </w:r>
      <w:r>
        <w:t xml:space="preserve"> </w:t>
      </w:r>
      <w:r>
        <w:t xml:space="preserve">(</w:t>
      </w:r>
      <m:oMath>
        <m:r>
          <m:t>D</m:t>
        </m:r>
        <m:r>
          <m:t>O</m:t>
        </m:r>
        <m:sSub>
          <m:e>
            <m:r>
              <m:t>Y</m:t>
            </m:r>
          </m:e>
          <m:sub>
            <m:r>
              <m:t>m</m:t>
            </m:r>
            <m:r>
              <m:t>a</m:t>
            </m:r>
            <m:r>
              <m:t>x</m:t>
            </m:r>
          </m:sub>
        </m:sSub>
      </m:oMath>
      <w:r>
        <w:t xml:space="preserve">=</w:t>
      </w:r>
      <w:r>
        <w:rPr>
          <w:b/>
        </w:rPr>
        <w:t xml:space="preserve">158</w:t>
      </w:r>
      <w:r>
        <w:t xml:space="preserve">).</w:t>
      </w:r>
    </w:p>
    <w:p>
      <w:pPr>
        <w:pStyle w:val="BodyText"/>
      </w:pPr>
      <w:r>
        <w:t xml:space="preserve">Growth pheonology differed between ring- and diffuse- porous species, with ring-porous species having an earlier start to growth, with growth spread out over a longer growing season (Fig. 2).</w:t>
      </w:r>
      <w:r>
        <w:t xml:space="preserve"> </w:t>
      </w:r>
      <w:r>
        <w:t xml:space="preserve">For ring-porous trees, on average, 25% of annual growth was achieved on</w:t>
      </w:r>
      <w:r>
        <w:t xml:space="preserve"> </w:t>
      </w:r>
      <w:r>
        <w:rPr>
          <w:b/>
        </w:rPr>
        <w:t xml:space="preserve">April 23</w:t>
      </w:r>
      <w:r>
        <w:t xml:space="preserve"> </w:t>
      </w:r>
      <w:r>
        <w:t xml:space="preserve">(</w:t>
      </w:r>
      <m:oMath>
        <m:r>
          <m:t>D</m:t>
        </m:r>
        <m:r>
          <m:t>O</m:t>
        </m:r>
        <m:sSub>
          <m:e>
            <m:r>
              <m:t>Y</m:t>
            </m:r>
          </m:e>
          <m:sub>
            <m:r>
              <m:t>25</m:t>
            </m:r>
          </m:sub>
        </m:sSub>
      </m:oMath>
      <w:r>
        <w:t xml:space="preserve">=</w:t>
      </w:r>
      <w:r>
        <w:rPr>
          <w:b/>
        </w:rPr>
        <w:t xml:space="preserve">113</w:t>
      </w:r>
      <w:r>
        <w:t xml:space="preserve">), 50% on</w:t>
      </w:r>
      <w:r>
        <w:t xml:space="preserve"> </w:t>
      </w:r>
      <w:r>
        <w:rPr>
          <w:b/>
        </w:rPr>
        <w:t xml:space="preserve">May 27</w:t>
      </w:r>
      <w:r>
        <w:t xml:space="preserve"> </w:t>
      </w:r>
      <w:r>
        <w:t xml:space="preserve">(</w:t>
      </w:r>
      <m:oMath>
        <m:r>
          <m:t>D</m:t>
        </m:r>
        <m:r>
          <m:t>O</m:t>
        </m:r>
        <m:sSub>
          <m:e>
            <m:r>
              <m:t>Y</m:t>
            </m:r>
          </m:e>
          <m:sub>
            <m:r>
              <m:t>50</m:t>
            </m:r>
          </m:sub>
        </m:sSub>
      </m:oMath>
      <w:r>
        <w:t xml:space="preserve">=</w:t>
      </w:r>
      <w:r>
        <w:rPr>
          <w:b/>
        </w:rPr>
        <w:t xml:space="preserve">147</w:t>
      </w:r>
      <w:r>
        <w:t xml:space="preserve">), and 75% on</w:t>
      </w:r>
      <w:r>
        <w:t xml:space="preserve"> </w:t>
      </w:r>
      <w:r>
        <w:rPr>
          <w:b/>
        </w:rPr>
        <w:t xml:space="preserve">June 30</w:t>
      </w:r>
      <w:r>
        <w:t xml:space="preserve"> </w:t>
      </w:r>
      <w:r>
        <w:t xml:space="preserve">(</w:t>
      </w:r>
      <m:oMath>
        <m:r>
          <m:t>D</m:t>
        </m:r>
        <m:r>
          <m:t>O</m:t>
        </m:r>
        <m:sSub>
          <m:e>
            <m:r>
              <m:t>Y</m:t>
            </m:r>
          </m:e>
          <m:sub>
            <m:r>
              <m:t>75</m:t>
            </m:r>
          </m:sub>
        </m:sSub>
      </m:oMath>
      <w:r>
        <w:t xml:space="preserve">=</w:t>
      </w:r>
      <w:r>
        <w:rPr>
          <w:b/>
        </w:rPr>
        <w:t xml:space="preserve">181</w:t>
      </w:r>
      <w:r>
        <w:t xml:space="preserve">), for an average peak growing season length of</w:t>
      </w:r>
      <w:r>
        <w:t xml:space="preserve"> </w:t>
      </w:r>
      <w:r>
        <w:rPr>
          <w:b/>
        </w:rPr>
        <w:t xml:space="preserve">68</w:t>
      </w:r>
      <w:r>
        <w:t xml:space="preserve"> </w:t>
      </w:r>
      <w:r>
        <w:t xml:space="preserve">days. Maximum growth rate occurred</w:t>
      </w:r>
      <w:r>
        <w:t xml:space="preserve"> </w:t>
      </w:r>
      <w:r>
        <w:rPr>
          <w:i/>
        </w:rPr>
        <w:t xml:space="preserve">on</w:t>
      </w:r>
      <w:r>
        <w:rPr>
          <w:i/>
        </w:rPr>
        <w:t xml:space="preserve"> </w:t>
      </w:r>
      <m:oMath>
        <m:r>
          <m:t>D</m:t>
        </m:r>
        <m:r>
          <m:t>O</m:t>
        </m:r>
        <m:sSub>
          <m:e>
            <m:r>
              <m:t>Y</m:t>
            </m:r>
          </m:e>
          <m:sub>
            <m:r>
              <m:t>50</m:t>
            </m:r>
          </m:sub>
        </m:sSub>
      </m:oMath>
      <w:r>
        <w:t xml:space="preserve"> </w:t>
      </w:r>
      <w:r>
        <w:t xml:space="preserve">and averaged .048</w:t>
      </w:r>
      <w:r>
        <w:t xml:space="preserve"> </w:t>
      </w:r>
      <w:r>
        <w:rPr>
          <w:b/>
        </w:rPr>
        <w:t xml:space="preserve">mm day</w:t>
      </w:r>
      <w:r>
        <w:rPr>
          <w:vertAlign w:val="superscript"/>
          <w:b/>
        </w:rPr>
        <w:t xml:space="preserve">-1</w:t>
      </w:r>
      <w:r>
        <w:rPr>
          <w:b/>
        </w:rPr>
        <w:t xml:space="preserve"> </w:t>
      </w:r>
      <w:r>
        <w:rPr>
          <w:b/>
        </w:rPr>
        <w:t xml:space="preserve">(?)</w:t>
      </w:r>
      <w:r>
        <w:t xml:space="preserve">.</w:t>
      </w:r>
      <w:r>
        <w:t xml:space="preserve"> </w:t>
      </w:r>
      <w:r>
        <w:t xml:space="preserve">For diffuse-porous trees, on average, 25% of annual growth was achieved on</w:t>
      </w:r>
      <w:r>
        <w:t xml:space="preserve"> </w:t>
      </w:r>
      <w:r>
        <w:rPr>
          <w:b/>
        </w:rPr>
        <w:t xml:space="preserve">June 2</w:t>
      </w:r>
      <w:r>
        <w:t xml:space="preserve"> </w:t>
      </w:r>
      <w:r>
        <w:t xml:space="preserve">(</w:t>
      </w:r>
      <m:oMath>
        <m:r>
          <m:t>D</m:t>
        </m:r>
        <m:r>
          <m:t>O</m:t>
        </m:r>
        <m:sSub>
          <m:e>
            <m:r>
              <m:t>Y</m:t>
            </m:r>
          </m:e>
          <m:sub>
            <m:r>
              <m:t>25</m:t>
            </m:r>
          </m:sub>
        </m:sSub>
      </m:oMath>
      <w:r>
        <w:t xml:space="preserve">=</w:t>
      </w:r>
      <w:r>
        <w:rPr>
          <w:b/>
        </w:rPr>
        <w:t xml:space="preserve">153</w:t>
      </w:r>
      <w:r>
        <w:t xml:space="preserve">), 50% on</w:t>
      </w:r>
      <w:r>
        <w:t xml:space="preserve"> </w:t>
      </w:r>
      <w:r>
        <w:rPr>
          <w:b/>
        </w:rPr>
        <w:t xml:space="preserve">June 20</w:t>
      </w:r>
      <w:r>
        <w:t xml:space="preserve"> </w:t>
      </w:r>
      <w:r>
        <w:t xml:space="preserve">(</w:t>
      </w:r>
      <m:oMath>
        <m:r>
          <m:t>D</m:t>
        </m:r>
        <m:r>
          <m:t>O</m:t>
        </m:r>
        <m:sSub>
          <m:e>
            <m:r>
              <m:t>Y</m:t>
            </m:r>
          </m:e>
          <m:sub>
            <m:r>
              <m:t>50</m:t>
            </m:r>
          </m:sub>
        </m:sSub>
      </m:oMath>
      <w:r>
        <w:t xml:space="preserve">=</w:t>
      </w:r>
      <w:r>
        <w:rPr>
          <w:b/>
        </w:rPr>
        <w:t xml:space="preserve">171</w:t>
      </w:r>
      <w:r>
        <w:t xml:space="preserve">), and 75% on</w:t>
      </w:r>
      <w:r>
        <w:t xml:space="preserve"> </w:t>
      </w:r>
      <w:r>
        <w:rPr>
          <w:b/>
        </w:rPr>
        <w:t xml:space="preserve">July 9</w:t>
      </w:r>
      <w:r>
        <w:t xml:space="preserve"> </w:t>
      </w:r>
      <w:r>
        <w:t xml:space="preserve">(</w:t>
      </w:r>
      <m:oMath>
        <m:r>
          <m:t>D</m:t>
        </m:r>
        <m:r>
          <m:t>O</m:t>
        </m:r>
        <m:sSub>
          <m:e>
            <m:r>
              <m:t>Y</m:t>
            </m:r>
          </m:e>
          <m:sub>
            <m:r>
              <m:t>75</m:t>
            </m:r>
          </m:sub>
        </m:sSub>
      </m:oMath>
      <w:r>
        <w:t xml:space="preserve">=</w:t>
      </w:r>
      <w:r>
        <w:rPr>
          <w:b/>
        </w:rPr>
        <w:t xml:space="preserve">190</w:t>
      </w:r>
      <w:r>
        <w:t xml:space="preserve">), for an average peak growing season length of</w:t>
      </w:r>
      <w:r>
        <w:t xml:space="preserve"> </w:t>
      </w:r>
      <w:r>
        <w:rPr>
          <w:b/>
        </w:rPr>
        <w:t xml:space="preserve">37</w:t>
      </w:r>
      <w:r>
        <w:t xml:space="preserve"> </w:t>
      </w:r>
      <w:r>
        <w:t xml:space="preserve">days. Maximum growth rate occurred</w:t>
      </w:r>
      <w:r>
        <w:t xml:space="preserve"> </w:t>
      </w:r>
      <w:r>
        <w:rPr>
          <w:i/>
        </w:rPr>
        <w:t xml:space="preserve">just one day after</w:t>
      </w:r>
      <w:r>
        <w:rPr>
          <w:i/>
        </w:rPr>
        <w:t xml:space="preserve"> </w:t>
      </w:r>
      <m:oMath>
        <m:r>
          <m:t>D</m:t>
        </m:r>
        <m:r>
          <m:t>O</m:t>
        </m:r>
        <m:sSub>
          <m:e>
            <m:r>
              <m:t>Y</m:t>
            </m:r>
          </m:e>
          <m:sub>
            <m:r>
              <m:t>50</m:t>
            </m:r>
          </m:sub>
        </m:sSub>
      </m:oMath>
      <w:r>
        <w:t xml:space="preserve"> </w:t>
      </w:r>
      <w:r>
        <w:t xml:space="preserve">on</w:t>
      </w:r>
      <w:r>
        <w:t xml:space="preserve"> </w:t>
      </w:r>
      <w:r>
        <w:rPr>
          <w:b/>
        </w:rPr>
        <w:t xml:space="preserve">June 21</w:t>
      </w:r>
      <w:r>
        <w:t xml:space="preserve"> </w:t>
      </w:r>
      <w:r>
        <w:t xml:space="preserve">(</w:t>
      </w:r>
      <m:oMath>
        <m:r>
          <m:t>D</m:t>
        </m:r>
        <m:r>
          <m:t>O</m:t>
        </m:r>
        <m:sSub>
          <m:e>
            <m:r>
              <m:t>Y</m:t>
            </m:r>
          </m:e>
          <m:sub>
            <m:r>
              <m:t>m</m:t>
            </m:r>
            <m:r>
              <m:t>a</m:t>
            </m:r>
            <m:r>
              <m:t>x</m:t>
            </m:r>
          </m:sub>
        </m:sSub>
      </m:oMath>
      <w:r>
        <w:t xml:space="preserve">=</w:t>
      </w:r>
      <w:r>
        <w:rPr>
          <w:b/>
        </w:rPr>
        <w:t xml:space="preserve">172</w:t>
      </w:r>
      <w:r>
        <w:t xml:space="preserve">) and averaged .068</w:t>
      </w:r>
      <w:r>
        <w:t xml:space="preserve"> </w:t>
      </w:r>
      <w:r>
        <w:rPr>
          <w:b/>
        </w:rPr>
        <w:t xml:space="preserve">mm day</w:t>
      </w:r>
      <w:r>
        <w:rPr>
          <w:vertAlign w:val="superscript"/>
          <w:b/>
        </w:rPr>
        <w:t xml:space="preserve">-1</w:t>
      </w:r>
      <w:r>
        <w:rPr>
          <w:b/>
        </w:rPr>
        <w:t xml:space="preserve"> </w:t>
      </w:r>
      <w:r>
        <w:rPr>
          <w:b/>
        </w:rPr>
        <w:t xml:space="preserve">(?)</w:t>
      </w:r>
      <w:r>
        <w:t xml:space="preserve">.</w:t>
      </w:r>
    </w:p>
    <w:p>
      <w:r>
        <w:br w:type="page"/>
      </w:r>
    </w:p>
    <w:p>
      <w:pPr>
        <w:pStyle w:val="CaptionedFigure"/>
      </w:pPr>
      <w:r>
        <w:drawing>
          <wp:inline>
            <wp:extent cx="5334000" cy="2667000"/>
            <wp:effectExtent b="0" l="0" r="0" t="0"/>
            <wp:docPr descr="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 Growth trajectories for ring- and diffuse-porous trees, as both relative and cumulative fractions of total annual growth. Each line represents one year’s growth for a given tree, fit with McMahon model.</w:t>
      </w:r>
    </w:p>
    <w:tbl>
      <w:tblPr>
        <w:tblStyle w:val="Table"/>
        <w:tblW w:type="pct" w:w="4999.999999999999"/>
        <w:tblLook w:firstRow="1" w:lastRow="0" w:firstColumn="0" w:lastColumn="0" w:noHBand="0" w:noVBand="0"/>
      </w:tblPr>
      <w:tblGrid>
        <w:gridCol w:w="3217"/>
        <w:gridCol w:w="1237"/>
        <w:gridCol w:w="1072"/>
        <w:gridCol w:w="1072"/>
        <w:gridCol w:w="1320"/>
      </w:tblGrid>
      <w:tr>
        <w:trPr>
          <w:cnfStyle w:firstRow="1"/>
        </w:trPr>
        <w:tc>
          <w:tcPr>
            <w:tcBorders>
              <w:bottom w:val="single"/>
            </w:tcBorders>
            <w:vAlign w:val="bottom"/>
          </w:tcPr>
          <w:p/>
        </w:tc>
        <w:tc>
          <w:tcPr>
            <w:tcBorders>
              <w:bottom w:val="single"/>
            </w:tcBorders>
            <w:vAlign w:val="bottom"/>
          </w:tcPr>
          <w:p>
            <w:pPr>
              <w:pStyle w:val="Compact"/>
              <w:jc w:val="left"/>
            </w:pPr>
            <w:r>
              <w:t xml:space="preserve">SCBI.ring</w:t>
            </w:r>
          </w:p>
        </w:tc>
        <w:tc>
          <w:tcPr>
            <w:tcBorders>
              <w:bottom w:val="single"/>
            </w:tcBorders>
            <w:vAlign w:val="bottom"/>
          </w:tcPr>
          <w:p>
            <w:pPr>
              <w:pStyle w:val="Compact"/>
              <w:jc w:val="left"/>
            </w:pPr>
            <w:r>
              <w:t xml:space="preserve">SCBI.diffuse</w:t>
            </w:r>
          </w:p>
        </w:tc>
        <w:tc>
          <w:tcPr>
            <w:tcBorders>
              <w:bottom w:val="single"/>
            </w:tcBorders>
            <w:vAlign w:val="bottom"/>
          </w:tcPr>
          <w:p>
            <w:pPr>
              <w:pStyle w:val="Compact"/>
              <w:jc w:val="left"/>
            </w:pPr>
            <w:r>
              <w:t xml:space="preserve">Harvard.ring</w:t>
            </w:r>
          </w:p>
        </w:tc>
        <w:tc>
          <w:tcPr>
            <w:tcBorders>
              <w:bottom w:val="single"/>
            </w:tcBorders>
            <w:vAlign w:val="bottom"/>
          </w:tcPr>
          <w:p>
            <w:pPr>
              <w:pStyle w:val="Compact"/>
              <w:jc w:val="left"/>
            </w:pPr>
            <w:r>
              <w:t xml:space="preserve">Harvard.diffuse</w:t>
            </w:r>
          </w:p>
        </w:tc>
      </w:tr>
      <w:tr>
        <w:tc>
          <w:p>
            <w:pPr>
              <w:pStyle w:val="Compact"/>
              <w:jc w:val="left"/>
            </w:pPr>
            <w:r>
              <w:t xml:space="preserve">most influential early spring T window</w:t>
            </w:r>
          </w:p>
        </w:tc>
        <w:tc>
          <w:p>
            <w:pPr>
              <w:pStyle w:val="Compact"/>
              <w:jc w:val="left"/>
            </w:pPr>
            <w:r>
              <w:t xml:space="preserve">DATE-DATE</w:t>
            </w:r>
          </w:p>
        </w:tc>
        <w:tc>
          <w:p>
            <w:pPr>
              <w:pStyle w:val="Compact"/>
              <w:jc w:val="left"/>
            </w:pPr>
            <w:r>
              <w:t xml:space="preserve">DATE-DATE</w:t>
            </w:r>
          </w:p>
        </w:tc>
        <w:tc>
          <w:p>
            <w:pPr>
              <w:pStyle w:val="Compact"/>
              <w:jc w:val="left"/>
            </w:pPr>
            <w:r>
              <w:t xml:space="preserve">DATE-DATE</w:t>
            </w:r>
          </w:p>
        </w:tc>
        <w:tc>
          <w:p>
            <w:pPr>
              <w:pStyle w:val="Compact"/>
              <w:jc w:val="left"/>
            </w:pPr>
            <w:r>
              <w:t xml:space="preserve">DATE-DATE</w:t>
            </w:r>
          </w:p>
        </w:tc>
      </w:tr>
      <w:tr>
        <w:tc>
          <w:p>
            <w:pPr>
              <w:pStyle w:val="Compact"/>
              <w:jc w:val="left"/>
            </w:pPr>
            <w:r>
              <w:t xml:space="preserve">DOY.25</w:t>
            </w:r>
          </w:p>
        </w:tc>
        <w:tc>
          <w:p>
            <w:pPr>
              <w:pStyle w:val="Compact"/>
              <w:jc w:val="left"/>
            </w:pPr>
            <w:r>
              <w:t xml:space="preserve">113 (April 23)</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DOY.50</w:t>
            </w:r>
          </w:p>
        </w:tc>
        <w:tc>
          <w:p>
            <w:pPr>
              <w:pStyle w:val="Compact"/>
              <w:jc w:val="left"/>
            </w:pPr>
            <w:r>
              <w:t xml:space="preserve">147 (May 27)</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DOY.75</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DOY.g.max</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g.max</w:t>
            </w:r>
          </w:p>
        </w:tc>
        <w:tc>
          <w:p>
            <w:pPr>
              <w:pStyle w:val="Compact"/>
              <w:jc w:val="left"/>
            </w:pPr>
            <w:r>
              <w:t xml:space="preserve">n</w:t>
            </w:r>
          </w:p>
        </w:tc>
        <w:tc>
          <w:p>
            <w:pPr>
              <w:pStyle w:val="Compact"/>
              <w:jc w:val="left"/>
            </w:pPr>
            <w:r>
              <w:t xml:space="preserve">n</w:t>
            </w:r>
          </w:p>
        </w:tc>
        <w:tc>
          <w:p>
            <w:pPr>
              <w:pStyle w:val="Compact"/>
              <w:jc w:val="left"/>
            </w:pPr>
            <w:r>
              <w:t xml:space="preserve">n</w:t>
            </w:r>
          </w:p>
        </w:tc>
        <w:tc>
          <w:p>
            <w:pPr>
              <w:pStyle w:val="Compact"/>
              <w:jc w:val="left"/>
            </w:pPr>
            <w:r>
              <w:t xml:space="preserve">n</w:t>
            </w:r>
          </w:p>
        </w:tc>
      </w:tr>
      <w:tr>
        <w:tc>
          <w:p>
            <w:pPr>
              <w:pStyle w:val="Compact"/>
              <w:jc w:val="left"/>
            </w:pPr>
            <w:r>
              <w:t xml:space="preserve">delta.DBH</w:t>
            </w:r>
          </w:p>
        </w:tc>
        <w:tc>
          <w:p>
            <w:pPr>
              <w:pStyle w:val="Compact"/>
              <w:jc w:val="left"/>
            </w:pPr>
            <w:r>
              <w:t xml:space="preserve">n</w:t>
            </w:r>
          </w:p>
        </w:tc>
        <w:tc>
          <w:p>
            <w:pPr>
              <w:pStyle w:val="Compact"/>
              <w:jc w:val="left"/>
            </w:pPr>
            <w:r>
              <w:t xml:space="preserve">n</w:t>
            </w:r>
          </w:p>
        </w:tc>
        <w:tc>
          <w:p>
            <w:pPr>
              <w:pStyle w:val="Compact"/>
              <w:jc w:val="left"/>
            </w:pPr>
            <w:r>
              <w:t xml:space="preserve">n</w:t>
            </w:r>
          </w:p>
        </w:tc>
        <w:tc>
          <w:p>
            <w:pPr>
              <w:pStyle w:val="Compact"/>
              <w:jc w:val="left"/>
            </w:pPr>
            <w:r>
              <w:t xml:space="preserve">n</w:t>
            </w:r>
          </w:p>
        </w:tc>
      </w:tr>
    </w:tbl>
    <w:p>
      <w:pPr>
        <w:pStyle w:val="BodyText"/>
      </w:pPr>
      <w:r>
        <w:rPr>
          <w:i/>
        </w:rPr>
        <w:t xml:space="preserve">Optimal climate windows</w:t>
      </w:r>
    </w:p>
    <w:p>
      <w:pPr>
        <w:pStyle w:val="BodyText"/>
      </w:pPr>
      <w:r>
        <w:t xml:space="preserve">For the majority of weekly time windows from Feb. 1 to</w:t>
      </w:r>
      <w:r>
        <w:t xml:space="preserve"> </w:t>
      </w:r>
      <m:oMath>
        <m:r>
          <m:t>D</m:t>
        </m:r>
        <m:r>
          <m:t>O</m:t>
        </m:r>
        <m:sSub>
          <m:e>
            <m:r>
              <m:t>Y</m:t>
            </m:r>
          </m:e>
          <m:sub>
            <m:r>
              <m:t>25</m:t>
            </m:r>
          </m:sub>
        </m:sSub>
      </m:oMath>
      <w:r>
        <w:t xml:space="preserve">, there was negative relationship between temperature and</w:t>
      </w:r>
      <w:r>
        <w:t xml:space="preserve"> </w:t>
      </w:r>
      <m:oMath>
        <m:r>
          <m:t>D</m:t>
        </m:r>
        <m:r>
          <m:t>O</m:t>
        </m:r>
        <m:sSub>
          <m:e>
            <m:r>
              <m:t>Y</m:t>
            </m:r>
          </m:e>
          <m:sub>
            <m:r>
              <m:t>25</m:t>
            </m:r>
          </m:sub>
        </m:sSub>
      </m:oMath>
      <w:r>
        <w:t xml:space="preserve">, meaning that warmer temperatures shifted growth earlier in the season (Figs. 3, S3, S4).</w:t>
      </w:r>
      <w:r>
        <w:t xml:space="preserve"> </w:t>
      </w:r>
      <w:r>
        <w:t xml:space="preserve">This held true for both ring- and diffuse-porous trees,</w:t>
      </w:r>
      <w:r>
        <w:t xml:space="preserve"> </w:t>
      </w:r>
      <w:r>
        <w:rPr>
          <w:i/>
        </w:rPr>
        <w:t xml:space="preserve">albeit</w:t>
      </w:r>
      <w:r>
        <w:t xml:space="preserve"> </w:t>
      </w:r>
      <w:r>
        <w:t xml:space="preserve">with stronger relationships for ring-porous trees.</w:t>
      </w:r>
      <w:r>
        <w:t xml:space="preserve"> </w:t>
      </w:r>
      <w:r>
        <w:rPr>
          <w:i/>
        </w:rPr>
        <w:t xml:space="preserve">(Describe the landscape:)</w:t>
      </w:r>
      <w:r>
        <w:t xml:space="preserve"> </w:t>
      </w:r>
      <w:r>
        <w:t xml:space="preserve">In general, there were significant negative relationships between temperature and</w:t>
      </w:r>
      <w:r>
        <w:t xml:space="preserve"> </w:t>
      </w:r>
      <m:oMath>
        <m:r>
          <m:t>D</m:t>
        </m:r>
        <m:r>
          <m:t>O</m:t>
        </m:r>
        <m:sSub>
          <m:e>
            <m:r>
              <m:t>Y</m:t>
            </m:r>
          </m:e>
          <m:sub>
            <m:r>
              <m:t>25</m:t>
            </m:r>
          </m:sub>
        </m:sSub>
      </m:oMath>
      <w:r>
        <w:t xml:space="preserve"> </w:t>
      </w:r>
      <w:r>
        <w:t xml:space="preserve">for any time period beginning</w:t>
      </w:r>
      <w:r>
        <w:t xml:space="preserve"> </w:t>
      </w:r>
      <m:oMath>
        <m:r>
          <m:t>≥</m:t>
        </m:r>
      </m:oMath>
      <w:r>
        <w:t xml:space="preserve"> </w:t>
      </w:r>
      <w:r>
        <w:rPr>
          <w:b/>
        </w:rPr>
        <w:t xml:space="preserve">5</w:t>
      </w:r>
      <w:r>
        <w:t xml:space="preserve"> </w:t>
      </w:r>
      <w:r>
        <w:t xml:space="preserve">weeks prior to</w:t>
      </w:r>
      <w:r>
        <w:t xml:space="preserve"> </w:t>
      </w:r>
      <m:oMath>
        <m:r>
          <m:t>D</m:t>
        </m:r>
        <m:r>
          <m:t>O</m:t>
        </m:r>
        <m:sSub>
          <m:e>
            <m:r>
              <m:t>Y</m:t>
            </m:r>
          </m:e>
          <m:sub>
            <m:r>
              <m:t>25</m:t>
            </m:r>
          </m:sub>
        </m:sSub>
      </m:oMath>
      <w:r>
        <w:t xml:space="preserve">, ending</w:t>
      </w:r>
      <w:r>
        <w:t xml:space="preserve"> </w:t>
      </w:r>
      <m:oMath>
        <m:r>
          <m:t>≤</m:t>
        </m:r>
      </m:oMath>
      <w:r>
        <w:t xml:space="preserve"> </w:t>
      </w:r>
      <w:r>
        <w:rPr>
          <w:b/>
        </w:rPr>
        <w:t xml:space="preserve">6</w:t>
      </w:r>
      <w:r>
        <w:t xml:space="preserve"> </w:t>
      </w:r>
      <w:r>
        <w:t xml:space="preserve">weeks prior, and covering at least a</w:t>
      </w:r>
      <w:r>
        <w:t xml:space="preserve"> </w:t>
      </w:r>
      <w:r>
        <w:rPr>
          <w:b/>
        </w:rPr>
        <w:t xml:space="preserve">3</w:t>
      </w:r>
      <w:r>
        <w:t xml:space="preserve">-week period.</w:t>
      </w:r>
      <w:r>
        <w:t xml:space="preserve"> </w:t>
      </w:r>
      <w:r>
        <w:t xml:space="preserve">Relationships tended to be weaker and more stochastic in sign for short time periods, particularly those just prior to</w:t>
      </w:r>
      <w:r>
        <w:t xml:space="preserve"> </w:t>
      </w:r>
      <m:oMath>
        <m:r>
          <m:t>D</m:t>
        </m:r>
        <m:r>
          <m:t>O</m:t>
        </m:r>
        <m:sSub>
          <m:e>
            <m:r>
              <m:t>Y</m:t>
            </m:r>
          </m:e>
          <m:sub>
            <m:r>
              <m:t>25</m:t>
            </m:r>
          </m:sub>
        </m:sSub>
      </m:oMath>
      <w:r>
        <w:t xml:space="preserve">.</w:t>
      </w:r>
    </w:p>
    <w:p>
      <w:pPr>
        <w:pStyle w:val="BodyText"/>
      </w:pPr>
      <w:r>
        <w:t xml:space="preserve">Optimal windows occurred from</w:t>
      </w:r>
      <w:r>
        <w:t xml:space="preserve"> </w:t>
      </w:r>
      <w:r>
        <w:rPr>
          <w:b/>
        </w:rPr>
        <w:t xml:space="preserve">##-##</w:t>
      </w:r>
      <w:r>
        <w:t xml:space="preserve"> </w:t>
      </w:r>
      <w:r>
        <w:t xml:space="preserve">for ring-porous species and from</w:t>
      </w:r>
      <w:r>
        <w:t xml:space="preserve"> </w:t>
      </w:r>
      <w:r>
        <w:rPr>
          <w:b/>
        </w:rPr>
        <w:t xml:space="preserve">##-##</w:t>
      </w:r>
      <w:r>
        <w:t xml:space="preserve"> </w:t>
      </w:r>
      <w:r>
        <w:t xml:space="preserve">for diffuse-porous species.</w:t>
      </w:r>
    </w:p>
    <w:p>
      <w:pPr>
        <w:pStyle w:val="CaptionedFigure"/>
      </w:pPr>
      <w:r>
        <w:drawing>
          <wp:inline>
            <wp:extent cx="5334000" cy="5754143"/>
            <wp:effectExtent b="0" l="0" r="0" t="0"/>
            <wp:docPr descr="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 title="" id="1" name="Picture"/>
            <a:graphic>
              <a:graphicData uri="http://schemas.openxmlformats.org/drawingml/2006/picture">
                <pic:pic>
                  <pic:nvPicPr>
                    <pic:cNvPr descr="tables_figures/climwin.png" id="0" name="Picture"/>
                    <pic:cNvPicPr>
                      <a:picLocks noChangeArrowheads="1" noChangeAspect="1"/>
                    </pic:cNvPicPr>
                  </pic:nvPicPr>
                  <pic:blipFill>
                    <a:blip r:embed="rId38"/>
                    <a:stretch>
                      <a:fillRect/>
                    </a:stretch>
                  </pic:blipFill>
                  <pic:spPr bwMode="auto">
                    <a:xfrm>
                      <a:off x="0" y="0"/>
                      <a:ext cx="5334000" cy="5754143"/>
                    </a:xfrm>
                    <a:prstGeom prst="rect">
                      <a:avLst/>
                    </a:prstGeom>
                    <a:noFill/>
                    <a:ln w="9525">
                      <a:noFill/>
                      <a:headEnd/>
                      <a:tailEnd/>
                    </a:ln>
                  </pic:spPr>
                </pic:pic>
              </a:graphicData>
            </a:graphic>
          </wp:inline>
        </w:drawing>
      </w:r>
    </w:p>
    <w:p>
      <w:pPr>
        <w:pStyle w:val="ImageCaption"/>
      </w:pPr>
      <w:r>
        <w:t xml:space="preserve">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w:t>
      </w:r>
    </w:p>
    <w:p>
      <w:pPr>
        <w:pStyle w:val="BodyText"/>
      </w:pPr>
      <w:r>
        <w:rPr>
          <w:i/>
        </w:rPr>
        <w:t xml:space="preserve">Climate sensitivity of phenology</w:t>
      </w:r>
    </w:p>
    <w:p>
      <w:pPr>
        <w:pStyle w:val="BodyText"/>
      </w:pPr>
      <w:r>
        <w:t xml:space="preserve">Warmer spring temperatures resulted in an earlier start of growth for ring-porous species and an earlier growing season for diffuse-porous species (Fig. 4).</w:t>
      </w:r>
    </w:p>
    <w:p>
      <w:pPr>
        <w:pStyle w:val="CaptionedFigure"/>
      </w:pPr>
      <w:r>
        <w:drawing>
          <wp:inline>
            <wp:extent cx="5334000" cy="8890000"/>
            <wp:effectExtent b="0" l="0" r="0" t="0"/>
            <wp:docPr descr="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39"/>
                    <a:stretch>
                      <a:fillRect/>
                    </a:stretch>
                  </pic:blipFill>
                  <pic:spPr bwMode="auto">
                    <a:xfrm>
                      <a:off x="0" y="0"/>
                      <a:ext cx="5334000" cy="8890000"/>
                    </a:xfrm>
                    <a:prstGeom prst="rect">
                      <a:avLst/>
                    </a:prstGeom>
                    <a:noFill/>
                    <a:ln w="9525">
                      <a:noFill/>
                      <a:headEnd/>
                      <a:tailEnd/>
                    </a:ln>
                  </pic:spPr>
                </pic:pic>
              </a:graphicData>
            </a:graphic>
          </wp:inline>
        </w:drawing>
      </w:r>
    </w:p>
    <w:p>
      <w:pPr>
        <w:pStyle w:val="ImageCaption"/>
      </w:pPr>
      <w:r>
        <w:t xml:space="preserve">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bookmarkEnd w:id="40"/>
    <w:bookmarkStart w:id="42" w:name="discussion"/>
    <w:p>
      <w:pPr>
        <w:pStyle w:val="Heading3"/>
      </w:pPr>
      <w:r>
        <w:t xml:space="preserve">Discussion</w:t>
      </w:r>
    </w:p>
    <w:p>
      <w:pPr>
        <w:pStyle w:val="FirstParagraph"/>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likeliehood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CaptionedFigure"/>
      </w:pPr>
      <w:r>
        <w:drawing>
          <wp:inline>
            <wp:extent cx="5334000" cy="5334000"/>
            <wp:effectExtent b="0" l="0" r="0" t="0"/>
            <wp:docPr descr="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 Day of year where growth milestones were achied at (a) the Smithonian Conservation Biology Institute and (b) Harvard Forest.</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42"/>
    <w:bookmarkStart w:id="43" w:name="content-to-incorporate"/>
    <w:p>
      <w:pPr>
        <w:pStyle w:val="Heading3"/>
      </w:pPr>
      <w:r>
        <w:t xml:space="preserve">(Content to incorporate)</w:t>
      </w:r>
    </w:p>
    <w:p>
      <w:pPr>
        <w:pStyle w:val="FirstParagraph"/>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43"/>
    <w:bookmarkStart w:id="44" w:name="acknowledgements"/>
    <w:p>
      <w:pPr>
        <w:pStyle w:val="Heading3"/>
      </w:pPr>
      <w:r>
        <w:t xml:space="preserve">Acknowledgements</w:t>
      </w:r>
    </w:p>
    <w:p>
      <w:pPr>
        <w:pStyle w:val="FirstParagraph"/>
      </w:pPr>
      <w:r>
        <w:t xml:space="preserve">ForestGEO</w:t>
      </w:r>
    </w:p>
    <w:bookmarkEnd w:id="44"/>
    <w:bookmarkStart w:id="45" w:name="author-contributions"/>
    <w:p>
      <w:pPr>
        <w:pStyle w:val="Heading3"/>
      </w:pPr>
      <w:r>
        <w:t xml:space="preserve">Author Contributions</w:t>
      </w:r>
    </w:p>
    <w:bookmarkEnd w:id="45"/>
    <w:bookmarkStart w:id="46" w:name="supporting-information"/>
    <w:p>
      <w:pPr>
        <w:pStyle w:val="Heading3"/>
      </w:pP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46"/>
    <w:bookmarkStart w:id="58" w:name="references"/>
    <w:p>
      <w:pPr>
        <w:pStyle w:val="Heading3"/>
      </w:pPr>
      <w:r>
        <w:t xml:space="preserve">References</w:t>
      </w:r>
    </w:p>
    <w:bookmarkStart w:id="57" w:name="refs"/>
    <w:bookmarkStart w:id="48"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47">
        <w:r>
          <w:rPr>
            <w:rStyle w:val="Hyperlink"/>
          </w:rPr>
          <w:t xml:space="preserve">https://doi.org/10.1111/j.1365-2486.2005.001012.x</w:t>
        </w:r>
      </w:hyperlink>
    </w:p>
    <w:bookmarkEnd w:id="48"/>
    <w:bookmarkStart w:id="50"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49">
        <w:r>
          <w:rPr>
            <w:rStyle w:val="Hyperlink"/>
          </w:rPr>
          <w:t xml:space="preserve">https://doi.org/10.1111/gcb.14731</w:t>
        </w:r>
      </w:hyperlink>
    </w:p>
    <w:bookmarkEnd w:id="50"/>
    <w:bookmarkStart w:id="52"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51">
        <w:r>
          <w:rPr>
            <w:rStyle w:val="Hyperlink"/>
          </w:rPr>
          <w:t xml:space="preserve">https://doi.org/10.1038/nclimate2253</w:t>
        </w:r>
      </w:hyperlink>
    </w:p>
    <w:bookmarkEnd w:id="52"/>
    <w:bookmarkStart w:id="54"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53">
        <w:r>
          <w:rPr>
            <w:rStyle w:val="Hyperlink"/>
          </w:rPr>
          <w:t xml:space="preserve">https://doi.org/10.1002/ece3.1117</w:t>
        </w:r>
      </w:hyperlink>
    </w:p>
    <w:bookmarkEnd w:id="54"/>
    <w:bookmarkStart w:id="56"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55">
        <w:r>
          <w:rPr>
            <w:rStyle w:val="Hyperlink"/>
          </w:rPr>
          <w:t xml:space="preserve">https://doi.org/10.1016/j.agrformet.2016.06.010</w:t>
        </w:r>
      </w:hyperlink>
    </w:p>
    <w:bookmarkEnd w:id="56"/>
    <w:bookmarkEnd w:id="57"/>
    <w:bookmarkEnd w:id="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4">
    <w:nsid w:val="71315dca"/>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lvl w:ilvl="7">
      <w:start w:val="14"/>
      <w:numFmt w:val="lowerLetter"/>
      <w:lvlText w:val="%8."/>
      <w:lvlJc w:val="left"/>
      <w:pPr>
        <w:tabs>
          <w:tab w:val="num" w:pos="5040"/>
        </w:tabs>
        <w:ind w:left="5520" w:hanging="480"/>
      </w:pPr>
    </w:lvl>
    <w:lvl w:ilvl="8">
      <w:start w:val="14"/>
      <w:numFmt w:val="lowerLetter"/>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ng" /><Relationship Type="http://schemas.openxmlformats.org/officeDocument/2006/relationships/image" Id="rId38" Target="media/rId38.png" /><Relationship Type="http://schemas.openxmlformats.org/officeDocument/2006/relationships/image" Id="rId37" Target="media/rId37.png" /><Relationship Type="http://schemas.openxmlformats.org/officeDocument/2006/relationships/image" Id="rId28" Target="media/rId28.png" /><Relationship Type="http://schemas.openxmlformats.org/officeDocument/2006/relationships/image" Id="rId39" Target="media/rId39.png" /><Relationship Type="http://schemas.openxmlformats.org/officeDocument/2006/relationships/image" Id="rId27" Target="media/rId27.png" /><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53" Target="https://doi.org/10.1002/ece3.1117" TargetMode="External" /><Relationship Type="http://schemas.openxmlformats.org/officeDocument/2006/relationships/hyperlink" Id="rId55" Target="https://doi.org/10.1016/j.agrformet.2016.06.010" TargetMode="External" /><Relationship Type="http://schemas.openxmlformats.org/officeDocument/2006/relationships/hyperlink" Id="rId51" Target="https://doi.org/10.1038/nclimate2253" TargetMode="External" /><Relationship Type="http://schemas.openxmlformats.org/officeDocument/2006/relationships/hyperlink" Id="rId49" Target="https://doi.org/10.1111/gcb.14731" TargetMode="External" /><Relationship Type="http://schemas.openxmlformats.org/officeDocument/2006/relationships/hyperlink" Id="rId47" Target="https://doi.org/10.1111/j.1365-2486.2005.001012.x" TargetMode="External" /><Relationship Type="http://schemas.openxmlformats.org/officeDocument/2006/relationships/hyperlink" Id="rId31"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53" Target="https://doi.org/10.1002/ece3.1117" TargetMode="External" /><Relationship Type="http://schemas.openxmlformats.org/officeDocument/2006/relationships/hyperlink" Id="rId55" Target="https://doi.org/10.1016/j.agrformet.2016.06.010" TargetMode="External" /><Relationship Type="http://schemas.openxmlformats.org/officeDocument/2006/relationships/hyperlink" Id="rId51" Target="https://doi.org/10.1038/nclimate2253" TargetMode="External" /><Relationship Type="http://schemas.openxmlformats.org/officeDocument/2006/relationships/hyperlink" Id="rId49" Target="https://doi.org/10.1111/gcb.14731" TargetMode="External" /><Relationship Type="http://schemas.openxmlformats.org/officeDocument/2006/relationships/hyperlink" Id="rId47" Target="https://doi.org/10.1111/j.1365-2486.2005.001012.x" TargetMode="External" /><Relationship Type="http://schemas.openxmlformats.org/officeDocument/2006/relationships/hyperlink" Id="rId31"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2020-11-12T23:02:13Z</dcterms:created>
  <dcterms:modified xsi:type="dcterms:W3CDTF">2020-11-12T23:02:13Z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
  </property>
</Properties>
</file>